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360" w:lineRule="auto"/>
        <w:jc w:val="both"/>
        <w:rPr>
          <w:rFonts w:ascii="Times New Roman" w:cs="Times New Roman"/>
        </w:rPr>
      </w:pPr>
      <w:r>
        <w:rPr>
          <w:rFonts w:hint="eastAsia" w:ascii="Times New Roman" w:cs="Times New Roman"/>
        </w:rPr>
        <w:t>证券代码：</w:t>
      </w:r>
      <w:r>
        <w:rPr>
          <w:rFonts w:ascii="Times New Roman" w:cs="Times New Roman"/>
        </w:rPr>
        <w:t xml:space="preserve">300873         </w:t>
      </w:r>
      <w:r>
        <w:rPr>
          <w:rFonts w:hint="eastAsia" w:ascii="Times New Roman" w:cs="Times New Roman"/>
        </w:rPr>
        <w:t>证券简称：海晨股份</w:t>
      </w:r>
      <w:r>
        <w:rPr>
          <w:rFonts w:ascii="Times New Roman" w:cs="Times New Roman"/>
        </w:rPr>
        <w:t xml:space="preserve">          </w:t>
      </w:r>
      <w:r>
        <w:rPr>
          <w:rFonts w:hint="eastAsia" w:ascii="Times New Roman" w:cs="Times New Roman"/>
        </w:rPr>
        <w:t>公告编号：</w:t>
      </w:r>
      <w:r>
        <w:rPr>
          <w:rFonts w:ascii="Times New Roman" w:cs="Times New Roman"/>
        </w:rPr>
        <w:t>202</w:t>
      </w:r>
      <w:r>
        <w:rPr>
          <w:rFonts w:hint="eastAsia" w:ascii="Times New Roman" w:cs="Times New Roman"/>
          <w:lang w:val="en-US" w:eastAsia="zh-CN"/>
        </w:rPr>
        <w:t>3</w:t>
      </w:r>
      <w:r>
        <w:rPr>
          <w:rFonts w:hint="eastAsia" w:ascii="Times New Roman" w:cs="Times New Roman"/>
        </w:rPr>
        <w:t>-</w:t>
      </w:r>
      <w:r>
        <w:rPr>
          <w:rFonts w:hint="eastAsia" w:ascii="Times New Roman" w:cs="Times New Roman"/>
          <w:lang w:val="en-US" w:eastAsia="zh-CN"/>
        </w:rPr>
        <w:t>068</w:t>
      </w:r>
      <w:r>
        <w:rPr>
          <w:rFonts w:ascii="Times New Roman" w:cs="Times New Roman"/>
        </w:rPr>
        <w:t xml:space="preserve"> </w:t>
      </w:r>
    </w:p>
    <w:p>
      <w:pPr>
        <w:pStyle w:val="14"/>
        <w:spacing w:line="360" w:lineRule="auto"/>
        <w:jc w:val="center"/>
        <w:rPr>
          <w:rFonts w:asci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江苏海晨物流股份有限公司</w:t>
      </w:r>
    </w:p>
    <w:p>
      <w:pPr>
        <w:pStyle w:val="14"/>
        <w:spacing w:line="360" w:lineRule="auto"/>
        <w:jc w:val="center"/>
        <w:rPr>
          <w:rFonts w:hint="eastAsia" w:ascii="Times New Roman" w:eastAsia="黑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eastAsia="黑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改选董事会审计委员会委员</w:t>
      </w:r>
    </w:p>
    <w:p>
      <w:pPr>
        <w:pStyle w:val="14"/>
        <w:spacing w:line="360" w:lineRule="auto"/>
        <w:jc w:val="center"/>
        <w:rPr>
          <w:rFonts w:asci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黑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及聘任高级管理人员</w:t>
      </w:r>
      <w:r>
        <w:rPr>
          <w:rFonts w:hint="eastAsia" w:asci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的公告</w:t>
      </w:r>
    </w:p>
    <w:p>
      <w:pPr>
        <w:pBdr>
          <w:top w:val="single" w:color="auto" w:sz="4" w:space="0"/>
          <w:left w:val="single" w:color="auto" w:sz="4" w:space="4"/>
          <w:bottom w:val="single" w:color="auto" w:sz="4" w:space="5"/>
          <w:right w:val="single" w:color="auto" w:sz="4" w:space="4"/>
        </w:pBdr>
        <w:adjustRightInd w:val="0"/>
        <w:snapToGrid w:val="0"/>
        <w:spacing w:before="62" w:beforeLines="20" w:after="62" w:afterLines="20" w:line="500" w:lineRule="exact"/>
        <w:ind w:firstLine="48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本公司及董事会全体成员保证信息披露的内容真实、准确、完整，没有虚假记载、误导性陈述或重大遗漏。</w:t>
      </w:r>
    </w:p>
    <w:p>
      <w:pPr>
        <w:pStyle w:val="15"/>
        <w:snapToGrid w:val="0"/>
        <w:spacing w:afterLines="0"/>
        <w:ind w:firstLineChars="0"/>
        <w:rPr>
          <w:rFonts w:hint="eastAsia" w:ascii="Times New Roman" w:hAnsi="Times New Roman" w:cs="Times New Roman"/>
          <w:kern w:val="0"/>
          <w:szCs w:val="24"/>
          <w:lang w:eastAsia="zh-CN"/>
        </w:rPr>
      </w:pPr>
      <w:r>
        <w:rPr>
          <w:rFonts w:hint="eastAsia" w:ascii="Times New Roman" w:hAnsi="Times New Roman" w:cs="Times New Roman"/>
          <w:kern w:val="0"/>
          <w:szCs w:val="24"/>
          <w:lang w:eastAsia="zh-CN"/>
        </w:rPr>
        <w:t>江苏海晨物流股份有限公司（以下简称</w:t>
      </w:r>
      <w:r>
        <w:rPr>
          <w:rFonts w:ascii="Times New Roman" w:hAnsi="Times New Roman" w:cs="Times New Roman"/>
          <w:kern w:val="0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公司</w:t>
      </w:r>
      <w:r>
        <w:rPr>
          <w:rFonts w:ascii="Times New Roman" w:hAnsi="Times New Roman" w:cs="Times New Roman"/>
          <w:kern w:val="0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）于</w:t>
      </w:r>
      <w:r>
        <w:rPr>
          <w:rFonts w:ascii="Times New Roman" w:hAnsi="Times New Roman" w:cs="Times New Roman"/>
          <w:kern w:val="0"/>
          <w:szCs w:val="24"/>
          <w:lang w:eastAsia="zh-CN"/>
        </w:rPr>
        <w:t>202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年10月24日召开第三届董事会第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十二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次会议，审议通过《关于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改选董事会审计委员会委员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的议案》、《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关于聘任公司副总经理的议案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》，现将有关事项公告如下：</w:t>
      </w:r>
    </w:p>
    <w:p>
      <w:pPr>
        <w:pStyle w:val="15"/>
        <w:snapToGrid w:val="0"/>
        <w:spacing w:afterLines="0"/>
        <w:ind w:firstLineChars="0"/>
        <w:rPr>
          <w:rFonts w:hint="eastAsia" w:ascii="Times New Roman" w:hAnsi="Times New Roman" w:cs="Times New Roman"/>
          <w:kern w:val="0"/>
          <w:szCs w:val="24"/>
          <w:lang w:eastAsia="zh-CN"/>
        </w:rPr>
      </w:pPr>
      <w:r>
        <w:rPr>
          <w:rFonts w:hint="eastAsia" w:ascii="Times New Roman" w:hAnsi="Times New Roman" w:cs="Times New Roman"/>
          <w:kern w:val="0"/>
          <w:szCs w:val="24"/>
          <w:lang w:eastAsia="zh-CN"/>
        </w:rPr>
        <w:t>根据中国证券监督管理委员会发布的《上市公司独立董事管理办法》（证监会令第220号）（以下简称“《独董办法》”）规定，审计委员会成员应当为不在上市公司担任高级管理人员的董事，其中独立董事应当过半数，并由独立董事中会计专业人士担任召集人。公司现任董事会审计委员会成员之一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梁智睿先生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为公司高级管理人员，不符合《独董办法》规定的任职条件。为进一步完善公司治理结构，保障审计委员会规范运作，董事会改选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左新宇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先生为第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三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届董事会审计委员会成员，任期自本次董事会审议通过之日起至第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三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届董事会届满之日止。改选后第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三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届董事会审计委员会成员为：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杨远贵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先生、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左新宇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先生、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YAN JONATHON JUN先生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。</w:t>
      </w:r>
    </w:p>
    <w:p>
      <w:pPr>
        <w:pStyle w:val="15"/>
        <w:adjustRightInd w:val="0"/>
        <w:snapToGrid w:val="0"/>
        <w:spacing w:before="156" w:beforeLines="50" w:after="156"/>
        <w:rPr>
          <w:szCs w:val="24"/>
          <w:lang w:eastAsia="zh-CN"/>
        </w:rPr>
      </w:pP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同时，因公司经营管理需要，聘任陈帅先生为公司副总经理，</w:t>
      </w:r>
      <w:r>
        <w:rPr>
          <w:rFonts w:hint="eastAsia"/>
          <w:szCs w:val="24"/>
          <w:lang w:eastAsia="zh-CN"/>
        </w:rPr>
        <w:t>任期自本次董事会审议通过之日起至第三届董事会届满之日止。</w:t>
      </w:r>
    </w:p>
    <w:p>
      <w:pPr>
        <w:pStyle w:val="15"/>
        <w:snapToGrid w:val="0"/>
        <w:spacing w:afterLines="0"/>
        <w:ind w:firstLineChars="0"/>
        <w:rPr>
          <w:rFonts w:hint="eastAsia" w:ascii="Times New Roman" w:hAnsi="Times New Roman" w:cs="Times New Roman"/>
          <w:kern w:val="0"/>
          <w:szCs w:val="24"/>
          <w:lang w:eastAsia="zh-CN"/>
        </w:rPr>
      </w:pPr>
      <w:r>
        <w:rPr>
          <w:rFonts w:hint="eastAsia" w:ascii="Times New Roman" w:hAnsi="Times New Roman" w:cs="Times New Roman"/>
          <w:kern w:val="0"/>
          <w:szCs w:val="24"/>
          <w:lang w:eastAsia="zh-CN"/>
        </w:rPr>
        <w:t>特此公告。</w:t>
      </w:r>
    </w:p>
    <w:p>
      <w:pPr>
        <w:pStyle w:val="15"/>
        <w:snapToGrid w:val="0"/>
        <w:spacing w:afterLines="0"/>
        <w:ind w:firstLineChars="0"/>
        <w:rPr>
          <w:rFonts w:hint="eastAsia" w:ascii="Times New Roman" w:hAnsi="Times New Roman" w:cs="Times New Roman"/>
          <w:kern w:val="0"/>
          <w:szCs w:val="24"/>
          <w:lang w:eastAsia="zh-CN"/>
        </w:rPr>
      </w:pPr>
    </w:p>
    <w:p>
      <w:pPr>
        <w:pStyle w:val="15"/>
        <w:snapToGrid w:val="0"/>
        <w:spacing w:afterLines="0"/>
        <w:ind w:left="3150" w:leftChars="1500" w:firstLine="0" w:firstLineChars="0"/>
        <w:jc w:val="right"/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  <w:lang w:eastAsia="zh-CN"/>
        </w:rPr>
        <w:t>江苏海晨物流股份有限公司</w:t>
      </w:r>
    </w:p>
    <w:p>
      <w:pPr>
        <w:pStyle w:val="15"/>
        <w:snapToGrid w:val="0"/>
        <w:spacing w:afterLines="0"/>
        <w:ind w:left="3150" w:leftChars="1500" w:firstLine="0" w:firstLineChars="0"/>
        <w:jc w:val="right"/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  <w:lang w:eastAsia="zh-CN"/>
        </w:rPr>
        <w:t>董事会</w:t>
      </w:r>
    </w:p>
    <w:p>
      <w:pPr>
        <w:pStyle w:val="15"/>
        <w:snapToGrid w:val="0"/>
        <w:spacing w:afterLines="0"/>
        <w:ind w:firstLine="4560" w:firstLineChars="0"/>
        <w:jc w:val="right"/>
        <w:rPr>
          <w:rFonts w:ascii="Times New Roman" w:hAnsi="Times New Roman" w:cs="Times New Roman"/>
          <w:szCs w:val="24"/>
          <w:lang w:eastAsia="zh-CN"/>
        </w:rPr>
      </w:pPr>
      <w:r>
        <w:rPr>
          <w:rFonts w:hint="eastAsia" w:ascii="Times New Roman" w:hAnsi="Times New Roman" w:cs="Times New Roman"/>
          <w:szCs w:val="24"/>
          <w:lang w:eastAsia="zh-CN"/>
        </w:rPr>
        <w:t>2</w:t>
      </w:r>
      <w:r>
        <w:rPr>
          <w:rFonts w:ascii="Times New Roman" w:hAnsi="Times New Roman" w:cs="Times New Roman"/>
          <w:szCs w:val="24"/>
          <w:lang w:eastAsia="zh-CN"/>
        </w:rPr>
        <w:t>02</w:t>
      </w:r>
      <w:r>
        <w:rPr>
          <w:rFonts w:hint="eastAsia" w:ascii="Times New Roman" w:hAnsi="Times New Roman" w:cs="Times New Roman"/>
          <w:szCs w:val="24"/>
          <w:lang w:val="en-US" w:eastAsia="zh-CN"/>
        </w:rPr>
        <w:t>3</w:t>
      </w:r>
      <w:r>
        <w:rPr>
          <w:rFonts w:ascii="Times New Roman" w:hAnsi="Times New Roman" w:cs="Times New Roman"/>
          <w:szCs w:val="24"/>
          <w:lang w:eastAsia="zh-CN"/>
        </w:rPr>
        <w:t>年</w:t>
      </w:r>
      <w:r>
        <w:rPr>
          <w:rFonts w:hint="eastAsia" w:ascii="Times New Roman" w:hAnsi="Times New Roman" w:cs="Times New Roman"/>
          <w:szCs w:val="24"/>
          <w:lang w:eastAsia="zh-CN"/>
        </w:rPr>
        <w:t>10</w:t>
      </w:r>
      <w:r>
        <w:rPr>
          <w:rFonts w:ascii="Times New Roman" w:hAnsi="Times New Roman" w:cs="Times New Roman"/>
          <w:szCs w:val="24"/>
          <w:lang w:eastAsia="zh-CN"/>
        </w:rPr>
        <w:t>月</w:t>
      </w:r>
      <w:r>
        <w:rPr>
          <w:rFonts w:hint="eastAsia" w:ascii="Times New Roman" w:hAnsi="Times New Roman" w:cs="Times New Roman"/>
          <w:szCs w:val="24"/>
          <w:lang w:eastAsia="zh-CN"/>
        </w:rPr>
        <w:t>25</w:t>
      </w:r>
      <w:r>
        <w:rPr>
          <w:rFonts w:ascii="Times New Roman" w:hAnsi="Times New Roman" w:cs="Times New Roman"/>
          <w:szCs w:val="24"/>
          <w:lang w:eastAsia="zh-CN"/>
        </w:rPr>
        <w:t>日</w:t>
      </w:r>
    </w:p>
    <w:p>
      <w:pPr>
        <w:pStyle w:val="15"/>
        <w:snapToGrid w:val="0"/>
        <w:spacing w:afterLines="0"/>
        <w:ind w:firstLine="4560" w:firstLineChars="0"/>
        <w:jc w:val="right"/>
        <w:rPr>
          <w:rFonts w:ascii="Times New Roman" w:hAnsi="Times New Roman" w:cs="Times New Roman"/>
          <w:szCs w:val="24"/>
          <w:lang w:eastAsia="zh-CN"/>
        </w:rPr>
      </w:pPr>
    </w:p>
    <w:p>
      <w:pPr>
        <w:pStyle w:val="15"/>
        <w:snapToGrid w:val="0"/>
        <w:spacing w:afterLines="0"/>
        <w:ind w:firstLine="4560" w:firstLineChars="0"/>
        <w:jc w:val="right"/>
        <w:rPr>
          <w:rFonts w:ascii="Times New Roman" w:hAnsi="Times New Roman" w:cs="Times New Roman"/>
          <w:szCs w:val="24"/>
          <w:lang w:eastAsia="zh-CN"/>
        </w:rPr>
      </w:pPr>
    </w:p>
    <w:p>
      <w:pPr>
        <w:pStyle w:val="15"/>
        <w:snapToGrid w:val="0"/>
        <w:spacing w:afterLines="0"/>
        <w:ind w:firstLine="4560" w:firstLineChars="0"/>
        <w:jc w:val="right"/>
        <w:rPr>
          <w:rFonts w:ascii="Times New Roman" w:hAnsi="Times New Roman" w:cs="Times New Roman"/>
          <w:szCs w:val="24"/>
          <w:lang w:eastAsia="zh-CN"/>
        </w:rPr>
      </w:pPr>
    </w:p>
    <w:p>
      <w:pPr>
        <w:pStyle w:val="15"/>
        <w:snapToGrid w:val="0"/>
        <w:spacing w:afterLines="0"/>
        <w:ind w:firstLine="4560" w:firstLineChars="0"/>
        <w:jc w:val="right"/>
        <w:rPr>
          <w:rFonts w:ascii="Times New Roman" w:hAnsi="Times New Roman" w:cs="Times New Roman"/>
          <w:szCs w:val="24"/>
          <w:lang w:eastAsia="zh-CN"/>
        </w:rPr>
      </w:pPr>
    </w:p>
    <w:p>
      <w:pPr>
        <w:snapToGrid w:val="0"/>
        <w:spacing w:line="360" w:lineRule="auto"/>
        <w:ind w:firstLine="482" w:firstLineChars="200"/>
        <w:rPr>
          <w:rFonts w:cs="Arial" w:eastAsiaTheme="minorEastAsia"/>
          <w:b/>
          <w:sz w:val="24"/>
        </w:rPr>
      </w:pPr>
      <w:r>
        <w:rPr>
          <w:rFonts w:hint="eastAsia" w:cs="Arial" w:eastAsiaTheme="minorEastAsia"/>
          <w:b/>
          <w:sz w:val="24"/>
        </w:rPr>
        <w:t>附件：个人简历</w:t>
      </w:r>
    </w:p>
    <w:p>
      <w:pPr>
        <w:pStyle w:val="15"/>
        <w:spacing w:afterLines="0"/>
        <w:ind w:firstLineChars="0"/>
        <w:jc w:val="left"/>
        <w:rPr>
          <w:rFonts w:hint="eastAsia" w:ascii="Times New Roman" w:hAnsi="Times New Roman" w:eastAsia="宋体" w:cs="Arial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Arial"/>
          <w:sz w:val="24"/>
          <w:szCs w:val="24"/>
          <w:lang w:eastAsia="zh-CN"/>
        </w:rPr>
        <w:t>左新宇，男，中国国籍，1977年生，北京交通大学物流工程硕士研究生。2000年至2006年担任国家国内贸易局商业发展中心主任科员；2006年至今担任中国物流与采购联合分支机构秘书长；兼任西上海（605151）独立董事、北京中物联会展有限公司董事。现任公司独立董事。</w:t>
      </w:r>
    </w:p>
    <w:p>
      <w:pPr>
        <w:pStyle w:val="15"/>
        <w:snapToGrid w:val="0"/>
        <w:spacing w:afterLines="0"/>
        <w:ind w:firstLineChars="0"/>
        <w:jc w:val="left"/>
        <w:rPr>
          <w:rFonts w:hint="eastAsia" w:ascii="Times New Roman" w:hAnsi="Times New Roman"/>
          <w:szCs w:val="24"/>
          <w:lang w:eastAsia="zh-CN"/>
        </w:rPr>
      </w:pPr>
      <w:bookmarkStart w:id="0" w:name="_GoBack"/>
      <w:bookmarkEnd w:id="0"/>
    </w:p>
    <w:p>
      <w:pPr>
        <w:pStyle w:val="15"/>
        <w:snapToGrid w:val="0"/>
        <w:spacing w:afterLines="0"/>
        <w:ind w:firstLineChars="0"/>
        <w:jc w:val="left"/>
        <w:rPr>
          <w:rFonts w:ascii="Times New Roman" w:hAnsi="Times New Roman"/>
          <w:szCs w:val="24"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陈帅，男，中国国籍，无境外永久居留权，1989年生，清华大学硕士，注册会计师（C</w:t>
      </w:r>
      <w:r>
        <w:rPr>
          <w:rFonts w:ascii="Times New Roman" w:hAnsi="Times New Roman"/>
          <w:szCs w:val="24"/>
          <w:lang w:eastAsia="zh-CN"/>
        </w:rPr>
        <w:t>PA</w:t>
      </w:r>
      <w:r>
        <w:rPr>
          <w:rFonts w:hint="eastAsia" w:ascii="Times New Roman" w:hAnsi="Times New Roman"/>
          <w:szCs w:val="24"/>
          <w:lang w:eastAsia="zh-CN"/>
        </w:rPr>
        <w:t>）、特许金融分析师（C</w:t>
      </w:r>
      <w:r>
        <w:rPr>
          <w:rFonts w:ascii="Times New Roman" w:hAnsi="Times New Roman"/>
          <w:szCs w:val="24"/>
          <w:lang w:eastAsia="zh-CN"/>
        </w:rPr>
        <w:t>FA</w:t>
      </w:r>
      <w:r>
        <w:rPr>
          <w:rFonts w:hint="eastAsia" w:ascii="Times New Roman" w:hAnsi="Times New Roman"/>
          <w:szCs w:val="24"/>
          <w:lang w:eastAsia="zh-CN"/>
        </w:rPr>
        <w:t>），2011年-2015年，任职于德勤华永会计师事务所，担任高级顾问。2016年-2023年，任职于君联资本管理股份有限公司，担任投资副总裁。2023年7月入职江苏海晨物流股份有限公司，现任公司</w:t>
      </w:r>
      <w:r>
        <w:rPr>
          <w:rFonts w:hint="eastAsia" w:ascii="Times New Roman" w:hAnsi="Times New Roman"/>
          <w:szCs w:val="24"/>
          <w:lang w:val="en-US" w:eastAsia="zh-CN"/>
        </w:rPr>
        <w:t>董事会秘书、</w:t>
      </w:r>
      <w:r>
        <w:rPr>
          <w:rFonts w:hint="eastAsia" w:ascii="Times New Roman" w:hAnsi="Times New Roman"/>
          <w:szCs w:val="24"/>
          <w:lang w:eastAsia="zh-CN"/>
        </w:rPr>
        <w:t>投资</w:t>
      </w:r>
      <w:r>
        <w:rPr>
          <w:rFonts w:hint="eastAsia" w:ascii="Times New Roman" w:hAnsi="Times New Roman"/>
          <w:szCs w:val="24"/>
          <w:lang w:val="en-US" w:eastAsia="zh-CN"/>
        </w:rPr>
        <w:t>部总经理</w:t>
      </w:r>
      <w:r>
        <w:rPr>
          <w:rFonts w:hint="eastAsia" w:ascii="Times New Roman" w:hAnsi="Times New Roman"/>
          <w:szCs w:val="24"/>
          <w:lang w:eastAsia="zh-CN"/>
        </w:rPr>
        <w:t>。</w:t>
      </w:r>
    </w:p>
    <w:p>
      <w:pPr>
        <w:pStyle w:val="15"/>
        <w:snapToGrid w:val="0"/>
        <w:spacing w:afterLines="0"/>
        <w:ind w:firstLineChars="0"/>
        <w:jc w:val="left"/>
        <w:rPr>
          <w:b/>
          <w:szCs w:val="24"/>
          <w:lang w:eastAsia="zh-CN"/>
        </w:rPr>
      </w:pPr>
      <w:r>
        <w:rPr>
          <w:rFonts w:hint="eastAsia" w:ascii="Times New Roman" w:hAnsi="Times New Roman"/>
          <w:szCs w:val="24"/>
          <w:lang w:eastAsia="zh-CN"/>
        </w:rPr>
        <w:t>截至本公告日，陈帅</w:t>
      </w:r>
      <w:r>
        <w:rPr>
          <w:rFonts w:hint="eastAsia" w:ascii="Times New Roman" w:hAnsi="Times New Roman"/>
          <w:szCs w:val="24"/>
          <w:lang w:eastAsia="zh-Hans"/>
        </w:rPr>
        <w:t>先生</w:t>
      </w:r>
      <w:r>
        <w:rPr>
          <w:rFonts w:hint="eastAsia" w:ascii="Times New Roman" w:hAnsi="Times New Roman"/>
          <w:szCs w:val="24"/>
          <w:lang w:eastAsia="zh-CN"/>
        </w:rPr>
        <w:t>未持有公司股份</w:t>
      </w:r>
      <w:r>
        <w:rPr>
          <w:rFonts w:hint="eastAsia" w:ascii="Times New Roman" w:hAnsi="Times New Roman"/>
          <w:szCs w:val="24"/>
          <w:lang w:eastAsia="zh-Hans"/>
        </w:rPr>
        <w:t>，</w:t>
      </w:r>
      <w:r>
        <w:rPr>
          <w:rFonts w:hint="eastAsia" w:ascii="Times New Roman" w:hAnsi="Times New Roman"/>
          <w:szCs w:val="24"/>
          <w:lang w:eastAsia="zh-CN"/>
        </w:rPr>
        <w:t>与公司5%以上股东、实际控制人、其他董事、监事、高级管理人员不存在关联关系。不存在被中国证监会确定为市场禁入者、并且禁入尚未解除的情形；未受过中国证监会及其他有关部门的处罚和深圳证券交易所惩戒；不是失信被执行人；不存在《公司法》、《公司章程》等法律法规中规定的不得担任公司高级管理人员的情形；符合《公司法》等相关法律法规要求的任职条件。</w:t>
      </w:r>
    </w:p>
    <w:p>
      <w:pPr>
        <w:pStyle w:val="15"/>
        <w:snapToGrid w:val="0"/>
        <w:spacing w:afterLines="0"/>
        <w:ind w:firstLine="4560" w:firstLineChars="0"/>
        <w:jc w:val="right"/>
        <w:rPr>
          <w:rFonts w:ascii="Times New Roman" w:hAnsi="Times New Roman" w:cs="Times New Roman"/>
          <w:szCs w:val="24"/>
          <w:lang w:eastAsia="zh-CN"/>
        </w:rPr>
      </w:pPr>
    </w:p>
    <w:p>
      <w:pPr>
        <w:pStyle w:val="15"/>
        <w:snapToGrid w:val="0"/>
        <w:spacing w:afterLines="0"/>
        <w:ind w:firstLine="0" w:firstLineChars="0"/>
        <w:jc w:val="left"/>
        <w:rPr>
          <w:rFonts w:hint="eastAsia" w:asciiTheme="majorEastAsia" w:hAnsiTheme="majorEastAsia" w:eastAsiaTheme="majorEastAsia"/>
          <w:szCs w:val="24"/>
          <w:lang w:eastAsia="zh-CN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3ZGFhMzBkZTM5OTRjMmU4YmRkOTYxZmY5OWFkODMifQ=="/>
  </w:docVars>
  <w:rsids>
    <w:rsidRoot w:val="00134BE7"/>
    <w:rsid w:val="00020407"/>
    <w:rsid w:val="000250EC"/>
    <w:rsid w:val="00027A2C"/>
    <w:rsid w:val="000408BB"/>
    <w:rsid w:val="0004702F"/>
    <w:rsid w:val="0005593D"/>
    <w:rsid w:val="00065D82"/>
    <w:rsid w:val="00091E65"/>
    <w:rsid w:val="00095126"/>
    <w:rsid w:val="0009750D"/>
    <w:rsid w:val="000C0BDF"/>
    <w:rsid w:val="000F0096"/>
    <w:rsid w:val="0011436F"/>
    <w:rsid w:val="0013055F"/>
    <w:rsid w:val="00131C2D"/>
    <w:rsid w:val="00134BE7"/>
    <w:rsid w:val="00164555"/>
    <w:rsid w:val="00186F8B"/>
    <w:rsid w:val="00196928"/>
    <w:rsid w:val="001B11AF"/>
    <w:rsid w:val="001C331C"/>
    <w:rsid w:val="001E4038"/>
    <w:rsid w:val="001F247D"/>
    <w:rsid w:val="001F7222"/>
    <w:rsid w:val="002374F3"/>
    <w:rsid w:val="0024764F"/>
    <w:rsid w:val="00255C2B"/>
    <w:rsid w:val="002605E5"/>
    <w:rsid w:val="00264AB5"/>
    <w:rsid w:val="00273368"/>
    <w:rsid w:val="002755A5"/>
    <w:rsid w:val="002A15AB"/>
    <w:rsid w:val="002A2B8E"/>
    <w:rsid w:val="002A32F6"/>
    <w:rsid w:val="002B6770"/>
    <w:rsid w:val="002D1156"/>
    <w:rsid w:val="002F3F59"/>
    <w:rsid w:val="00342FD6"/>
    <w:rsid w:val="003577D9"/>
    <w:rsid w:val="003656C7"/>
    <w:rsid w:val="003707FE"/>
    <w:rsid w:val="0038023E"/>
    <w:rsid w:val="0038747F"/>
    <w:rsid w:val="003A169C"/>
    <w:rsid w:val="003D3671"/>
    <w:rsid w:val="003E0C8D"/>
    <w:rsid w:val="00404CEA"/>
    <w:rsid w:val="00413B55"/>
    <w:rsid w:val="0043451E"/>
    <w:rsid w:val="00455AAA"/>
    <w:rsid w:val="00461101"/>
    <w:rsid w:val="004964D7"/>
    <w:rsid w:val="004A31E3"/>
    <w:rsid w:val="004B09E1"/>
    <w:rsid w:val="004E11CA"/>
    <w:rsid w:val="005030A5"/>
    <w:rsid w:val="0051224E"/>
    <w:rsid w:val="005147C8"/>
    <w:rsid w:val="0052352E"/>
    <w:rsid w:val="00535780"/>
    <w:rsid w:val="0054269F"/>
    <w:rsid w:val="00556FCA"/>
    <w:rsid w:val="00560011"/>
    <w:rsid w:val="00561A82"/>
    <w:rsid w:val="00561D0F"/>
    <w:rsid w:val="005A2183"/>
    <w:rsid w:val="005A5C7A"/>
    <w:rsid w:val="005B54F1"/>
    <w:rsid w:val="005B6A2D"/>
    <w:rsid w:val="005B710E"/>
    <w:rsid w:val="005C3894"/>
    <w:rsid w:val="005C4556"/>
    <w:rsid w:val="005F2BD3"/>
    <w:rsid w:val="00610F06"/>
    <w:rsid w:val="006128FF"/>
    <w:rsid w:val="00615900"/>
    <w:rsid w:val="006217A6"/>
    <w:rsid w:val="0065322C"/>
    <w:rsid w:val="00670EAA"/>
    <w:rsid w:val="006911D2"/>
    <w:rsid w:val="006B5125"/>
    <w:rsid w:val="006C670E"/>
    <w:rsid w:val="006F5A5D"/>
    <w:rsid w:val="00702396"/>
    <w:rsid w:val="0070461D"/>
    <w:rsid w:val="00704928"/>
    <w:rsid w:val="007071CC"/>
    <w:rsid w:val="0073640F"/>
    <w:rsid w:val="00742061"/>
    <w:rsid w:val="00750083"/>
    <w:rsid w:val="0075305E"/>
    <w:rsid w:val="007606A0"/>
    <w:rsid w:val="007726F0"/>
    <w:rsid w:val="00774281"/>
    <w:rsid w:val="007B0413"/>
    <w:rsid w:val="007B1962"/>
    <w:rsid w:val="007B79C0"/>
    <w:rsid w:val="007C45D5"/>
    <w:rsid w:val="007D1CB9"/>
    <w:rsid w:val="007E3F57"/>
    <w:rsid w:val="00831094"/>
    <w:rsid w:val="00831C52"/>
    <w:rsid w:val="00863C8B"/>
    <w:rsid w:val="008734DE"/>
    <w:rsid w:val="008766E4"/>
    <w:rsid w:val="008922F2"/>
    <w:rsid w:val="00894710"/>
    <w:rsid w:val="008A4DF3"/>
    <w:rsid w:val="008B2D8F"/>
    <w:rsid w:val="008C5F9D"/>
    <w:rsid w:val="008E5302"/>
    <w:rsid w:val="008F4812"/>
    <w:rsid w:val="00932A8D"/>
    <w:rsid w:val="00942411"/>
    <w:rsid w:val="00943F57"/>
    <w:rsid w:val="009541BB"/>
    <w:rsid w:val="009544FC"/>
    <w:rsid w:val="009B716A"/>
    <w:rsid w:val="009C2718"/>
    <w:rsid w:val="009C5ABC"/>
    <w:rsid w:val="009E1AA0"/>
    <w:rsid w:val="009E4654"/>
    <w:rsid w:val="00A00017"/>
    <w:rsid w:val="00A12948"/>
    <w:rsid w:val="00A258EB"/>
    <w:rsid w:val="00A27830"/>
    <w:rsid w:val="00A31D90"/>
    <w:rsid w:val="00A46543"/>
    <w:rsid w:val="00A61A46"/>
    <w:rsid w:val="00A76E0C"/>
    <w:rsid w:val="00A8131E"/>
    <w:rsid w:val="00AB023D"/>
    <w:rsid w:val="00AB0E6B"/>
    <w:rsid w:val="00AB6552"/>
    <w:rsid w:val="00AC6854"/>
    <w:rsid w:val="00AD76A1"/>
    <w:rsid w:val="00B37465"/>
    <w:rsid w:val="00B45BC6"/>
    <w:rsid w:val="00B64EC4"/>
    <w:rsid w:val="00B6785D"/>
    <w:rsid w:val="00B705EE"/>
    <w:rsid w:val="00B71091"/>
    <w:rsid w:val="00B96AC3"/>
    <w:rsid w:val="00BA5071"/>
    <w:rsid w:val="00BC4D7D"/>
    <w:rsid w:val="00BD5F75"/>
    <w:rsid w:val="00BE1260"/>
    <w:rsid w:val="00BE1EB7"/>
    <w:rsid w:val="00BF7915"/>
    <w:rsid w:val="00C17740"/>
    <w:rsid w:val="00C301FA"/>
    <w:rsid w:val="00C33108"/>
    <w:rsid w:val="00C34072"/>
    <w:rsid w:val="00C53C70"/>
    <w:rsid w:val="00C62BDB"/>
    <w:rsid w:val="00C740F9"/>
    <w:rsid w:val="00C8729B"/>
    <w:rsid w:val="00CA4F52"/>
    <w:rsid w:val="00CA59C4"/>
    <w:rsid w:val="00CB3FC3"/>
    <w:rsid w:val="00CC73A7"/>
    <w:rsid w:val="00CE6260"/>
    <w:rsid w:val="00D26413"/>
    <w:rsid w:val="00D43EF0"/>
    <w:rsid w:val="00D64D52"/>
    <w:rsid w:val="00D72616"/>
    <w:rsid w:val="00D752EC"/>
    <w:rsid w:val="00D95CBF"/>
    <w:rsid w:val="00D960EC"/>
    <w:rsid w:val="00DB5D0A"/>
    <w:rsid w:val="00DC057E"/>
    <w:rsid w:val="00DD454E"/>
    <w:rsid w:val="00DD48BC"/>
    <w:rsid w:val="00DE5438"/>
    <w:rsid w:val="00DF321E"/>
    <w:rsid w:val="00DF6D87"/>
    <w:rsid w:val="00E078D5"/>
    <w:rsid w:val="00E214CC"/>
    <w:rsid w:val="00E6056D"/>
    <w:rsid w:val="00E820EC"/>
    <w:rsid w:val="00EA729D"/>
    <w:rsid w:val="00EB1A45"/>
    <w:rsid w:val="00EB6397"/>
    <w:rsid w:val="00EB6483"/>
    <w:rsid w:val="00EC2090"/>
    <w:rsid w:val="00ED63F3"/>
    <w:rsid w:val="00EE2CD2"/>
    <w:rsid w:val="00EE669F"/>
    <w:rsid w:val="00F1383C"/>
    <w:rsid w:val="00F15A4A"/>
    <w:rsid w:val="00F211AF"/>
    <w:rsid w:val="00F216FE"/>
    <w:rsid w:val="00F21D6F"/>
    <w:rsid w:val="00F25972"/>
    <w:rsid w:val="00F46496"/>
    <w:rsid w:val="00F64683"/>
    <w:rsid w:val="00F70C01"/>
    <w:rsid w:val="00F71667"/>
    <w:rsid w:val="00FA3029"/>
    <w:rsid w:val="00FA5FA1"/>
    <w:rsid w:val="00FB739E"/>
    <w:rsid w:val="00FD281D"/>
    <w:rsid w:val="00FD5AAC"/>
    <w:rsid w:val="00FE3799"/>
    <w:rsid w:val="00FE4B03"/>
    <w:rsid w:val="00FF3402"/>
    <w:rsid w:val="030A0A72"/>
    <w:rsid w:val="07B76CEE"/>
    <w:rsid w:val="093571C8"/>
    <w:rsid w:val="0DBA3BD2"/>
    <w:rsid w:val="10457C7B"/>
    <w:rsid w:val="15A7247F"/>
    <w:rsid w:val="16775FC6"/>
    <w:rsid w:val="181B41C3"/>
    <w:rsid w:val="1CF1546A"/>
    <w:rsid w:val="1DB7314C"/>
    <w:rsid w:val="22A24A93"/>
    <w:rsid w:val="279060A7"/>
    <w:rsid w:val="2A712852"/>
    <w:rsid w:val="38FC0717"/>
    <w:rsid w:val="42187DAE"/>
    <w:rsid w:val="464F49FE"/>
    <w:rsid w:val="530A07B3"/>
    <w:rsid w:val="58817F70"/>
    <w:rsid w:val="5C2F4BDB"/>
    <w:rsid w:val="5CD65160"/>
    <w:rsid w:val="64C92476"/>
    <w:rsid w:val="72072EE6"/>
    <w:rsid w:val="74A23383"/>
    <w:rsid w:val="775A7F45"/>
    <w:rsid w:val="7B252816"/>
    <w:rsid w:val="7E2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IPO正文"/>
    <w:basedOn w:val="1"/>
    <w:link w:val="16"/>
    <w:qFormat/>
    <w:uiPriority w:val="0"/>
    <w:pPr>
      <w:spacing w:afterLines="50" w:line="360" w:lineRule="auto"/>
      <w:ind w:firstLine="480" w:firstLineChars="200"/>
    </w:pPr>
    <w:rPr>
      <w:rFonts w:ascii="Arial" w:hAnsi="Arial" w:eastAsia="宋体" w:cs="Arial"/>
      <w:color w:val="000000"/>
      <w:sz w:val="24"/>
      <w:lang w:eastAsia="en-US" w:bidi="en-US"/>
    </w:rPr>
  </w:style>
  <w:style w:type="character" w:customStyle="1" w:styleId="16">
    <w:name w:val="IPO正文 Char"/>
    <w:link w:val="15"/>
    <w:qFormat/>
    <w:uiPriority w:val="0"/>
    <w:rPr>
      <w:rFonts w:ascii="Arial" w:hAnsi="Arial" w:eastAsia="宋体" w:cs="Arial"/>
      <w:color w:val="000000"/>
      <w:sz w:val="24"/>
      <w:lang w:eastAsia="en-US" w:bidi="en-US"/>
    </w:rPr>
  </w:style>
  <w:style w:type="paragraph" w:styleId="17">
    <w:name w:val="List Paragraph"/>
    <w:basedOn w:val="1"/>
    <w:qFormat/>
    <w:uiPriority w:val="99"/>
    <w:pPr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8">
    <w:name w:val="日期 字符"/>
    <w:basedOn w:val="9"/>
    <w:link w:val="3"/>
    <w:semiHidden/>
    <w:qFormat/>
    <w:uiPriority w:val="99"/>
  </w:style>
  <w:style w:type="character" w:customStyle="1" w:styleId="19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7237-1ADF-4305-9A2C-4DAE359B9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1056</Words>
  <Characters>1094</Characters>
  <Lines>7</Lines>
  <Paragraphs>2</Paragraphs>
  <TotalTime>0</TotalTime>
  <ScaleCrop>false</ScaleCrop>
  <LinksUpToDate>false</LinksUpToDate>
  <CharactersWithSpaces>1119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2020-08-26T07:13:00Z</dcterms:created>
  <dc:creator>Leanne</dc:creator>
  <cp:lastModifiedBy>Leanne</cp:lastModifiedBy>
  <dcterms:modified xsi:type="dcterms:W3CDTF">2023-10-23T10:13:54Z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9F96CFDBEBC64B87BA34888AE9F54146</vt:lpwstr>
  </property>
  <property fmtid="{D5CDD505-2E9C-101B-9397-08002B2CF9AE}" pid="4" name="commondata">
    <vt:lpwstr>eyJoZGlkIjoiOTRmMzY5MGFkMjBkZTk0NDNiM2Q5ZDRhYTJkZWQ1MDYifQ==</vt:lpwstr>
  </property>
</Properties>
</file>